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2259" w14:textId="0A779A64" w:rsidR="00726C0F" w:rsidRDefault="00726C0F" w:rsidP="00726C0F">
      <w:pPr>
        <w:rPr>
          <w:rFonts w:eastAsia="Times New Roman"/>
          <w:i/>
          <w:iCs/>
          <w:color w:val="000000"/>
        </w:rPr>
      </w:pPr>
      <w:r w:rsidRPr="001E17E0">
        <w:rPr>
          <w:rFonts w:cstheme="minorHAnsi"/>
          <w:i/>
          <w:iCs/>
          <w:sz w:val="22"/>
          <w:szCs w:val="22"/>
        </w:rPr>
        <w:t xml:space="preserve">Appendix do Załącznika nr 1 do Zapytania Ofertowego nr 1 </w:t>
      </w:r>
      <w:r w:rsidRPr="001E17E0">
        <w:rPr>
          <w:rFonts w:eastAsia="Times New Roman"/>
          <w:i/>
          <w:iCs/>
          <w:color w:val="000000"/>
          <w:sz w:val="22"/>
          <w:szCs w:val="22"/>
        </w:rPr>
        <w:t>z dnia 06.10.2022 r</w:t>
      </w:r>
      <w:r>
        <w:rPr>
          <w:rFonts w:eastAsia="Times New Roman"/>
          <w:i/>
          <w:iCs/>
          <w:color w:val="000000"/>
        </w:rPr>
        <w:t>.</w:t>
      </w:r>
      <w:r w:rsidRPr="00B360E6">
        <w:rPr>
          <w:rFonts w:eastAsia="Times New Roman"/>
          <w:i/>
          <w:iCs/>
          <w:color w:val="000000"/>
        </w:rPr>
        <w:t>  </w:t>
      </w:r>
    </w:p>
    <w:p w14:paraId="296A9EBC" w14:textId="77777777" w:rsidR="00726C0F" w:rsidRPr="00726C0F" w:rsidRDefault="00726C0F" w:rsidP="00726C0F">
      <w:pPr>
        <w:rPr>
          <w:rFonts w:cstheme="minorHAnsi"/>
          <w:i/>
          <w:iCs/>
          <w:sz w:val="22"/>
          <w:szCs w:val="22"/>
        </w:rPr>
      </w:pPr>
    </w:p>
    <w:p w14:paraId="66B49579" w14:textId="629D24B5" w:rsidR="00042AC1" w:rsidRDefault="00014DD0" w:rsidP="00014DD0">
      <w:pPr>
        <w:jc w:val="center"/>
        <w:rPr>
          <w:rFonts w:cstheme="minorHAnsi"/>
          <w:b/>
          <w:bCs/>
          <w:sz w:val="22"/>
          <w:szCs w:val="22"/>
        </w:rPr>
      </w:pPr>
      <w:r w:rsidRPr="00014DD0">
        <w:rPr>
          <w:rFonts w:cstheme="minorHAnsi"/>
          <w:b/>
          <w:bCs/>
          <w:sz w:val="22"/>
          <w:szCs w:val="22"/>
        </w:rPr>
        <w:t>KRYTERIA MERYTORYCZNE</w:t>
      </w:r>
    </w:p>
    <w:p w14:paraId="5A1494CB" w14:textId="77777777" w:rsidR="00726C0F" w:rsidRPr="00014DD0" w:rsidRDefault="00726C0F" w:rsidP="00014DD0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15050" w:type="dxa"/>
        <w:tblInd w:w="-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7225"/>
        <w:gridCol w:w="3969"/>
        <w:gridCol w:w="3260"/>
      </w:tblGrid>
      <w:tr w:rsidR="00726C0F" w:rsidRPr="007E4A2C" w14:paraId="591A045E" w14:textId="77777777" w:rsidTr="00726C0F">
        <w:trPr>
          <w:trHeight w:val="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14EF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886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parametru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0C08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Wartość graniczna / Parametr wymagany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E8750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</w:tr>
      <w:tr w:rsidR="00726C0F" w:rsidRPr="007E4A2C" w14:paraId="25F9F4D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26711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CDBBF4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PARAMETRY OGÓLNE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B03A63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9BCAB08" w14:textId="77777777" w:rsidR="00726C0F" w:rsidRPr="007E4A2C" w:rsidRDefault="00726C0F" w:rsidP="00CA7A0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6C0F" w:rsidRPr="007E4A2C" w14:paraId="2DD8B25D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0EDC" w14:textId="77777777" w:rsidR="00726C0F" w:rsidRPr="0049022F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B6FB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Aparat fabrycznie nowy (nieużywany i </w:t>
            </w:r>
            <w:proofErr w:type="spellStart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nierekondycjonowany</w:t>
            </w:r>
            <w:proofErr w:type="spellEnd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) o polu minimum 1.5 T do badań całego ciała z elementami systemu (dostawa, montaż, uruchomienie). Rok produkcji 2023.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A9B5" w14:textId="77777777" w:rsidR="00726C0F" w:rsidRPr="0049022F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ak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0C6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0E44DB8D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9B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3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Technologia "zero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boil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-off"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DC1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E2B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2FA9B301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0A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C10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Średnica otworu pacjenta (magnes z systemem "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shim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", cewkami gradientowymi i cewką całego ciała) min. 70 cm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05E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644C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22ABFB02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AF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9CA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Użyteczna maksymalna amplituda dla jednej osi w maksymalnym polu widzenia FOV w każdej osi równocześnie min. 35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/m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C8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BEE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6D628792" w14:textId="77777777" w:rsidTr="00726C0F">
        <w:trPr>
          <w:trHeight w:val="8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66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A3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Maksymalna szybkość narastania gradientów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Slew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Rate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w jednej osi możliwa do zastosowania dla wartości amplitudy z punktu I.4 (tj. co najmniej 35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/m)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63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Min. 150 T/m/s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5DB1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3FEBD8D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F2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34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Redukcja hałasu poprzez rozwiązania sprzętowe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B1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F347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06F5DE5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CC9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DB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Redukcja hałasu poprzez rozwiązania software'owe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31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A067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60533CC5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84EC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DC1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Liczba równoległych cyfrowych kanałów odbiorczych z pełną ścieżką cyfrową (pełna ścieżka cyfrowa oznacza tor: wzmacniacz, przetwornik analogowo-cyfrowy, rekonstruktor) możliwa do wykorzystania w maksymalnym statycznym polu widzenia (max FOV)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6B8C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Liczba kanałów: nie mniej niż 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4A9CE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7444730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31F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FB1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Aparat certyfikowany do instal</w:t>
            </w:r>
            <w:r w:rsidRPr="009F2923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cji w naczepach mobilnych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D0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A63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10D0358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E43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5A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Instalacja aparatu w specjalistycznej naczepie mobilnej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2C2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3DD5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2DADC7C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A169A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5E488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CEWKI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11A41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04CFA9B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4C750D0F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633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645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Nadawczo-odbiorcza cewka ogólnego przeznaczenia zabudowana w tunelu pacjenta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2C6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2F0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306F7DD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E2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9A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Cewka przeznaczona do badań głowy spolaryzowana kołowo albo kwadraturowa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AF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EBE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5470BC1E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71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53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cewka dedykowana do badania głowy o wysokiej rozdzielczości, posiadająca, co najmniej 15 elementów obrazujących jednocześnie w maksymalnym FOV, do akwizycji równoległych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równoważne, kompatybilna ze spektroskopią.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65F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005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3FD408DB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68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53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cewka lub zestaw cewek do badania głowy i szyi (do badań angiograficznych):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array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posiadająca, co najmniej 20 elementów obrazujących jednocześnie w maksymalnym FOV, do akwizycji równoległych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ARC, ASSET, SPEEDER lub równoważne,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5BA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3A02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E4A2C" w14:paraId="4672285F" w14:textId="77777777" w:rsidTr="00726C0F">
        <w:trPr>
          <w:trHeight w:val="18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89B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B268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cewka lub zestaw cewek do badania tułowia (klatka piersiowa, jama brzuszna i miednica mniejsza): typu </w:t>
            </w:r>
            <w:proofErr w:type="spellStart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array</w:t>
            </w:r>
            <w:proofErr w:type="spellEnd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posiadająca, co najmniej 30 elementy obrazujące jednocześnie w maksymalnym FOV, do akwizycji równoległych całego obiektu typu </w:t>
            </w:r>
            <w:proofErr w:type="spellStart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równoważne. Zaoferowana cewka powinna zapewnić, co najmniej pokrycie w maksymalnym statycznym FOV dostępnym dla oferowanego aparatu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3A11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Aparat wyposażony w co najmniej jedną cewkę wielokanałową typu matrycowego wykonana w technologii wysokiej elastyczności (AIR lub odpowiednio do nazewnictwa producenta), umożliwiająca owijanie badanej anatomii z bardzo dokładnym dopasowaniem i zakresem badania 50x50 cm.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9626F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0DED427" w14:textId="77777777" w:rsidTr="00726C0F">
        <w:trPr>
          <w:trHeight w:val="18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B8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794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cewka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array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(lub kombinacja cewek) umożliwiająca badanie całego kręgosłupa (odcinki C, Th i L) z automatycznym przesuwem stołu pacjenta sterowanym z protokołu badania, bez repozycjonowania pacjenta i przekładania lub przepinania cewek, posiadająca, co najmniej 16 elementów (leżących w bezpośrednim sąsiedztwie kręgosłupa a nie obok) obrazujących jednocześnie w maksymalnym FOV, do akwizycji równoległych całego obiektu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BB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FBBA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125BC8E" w14:textId="77777777" w:rsidTr="00726C0F">
        <w:trPr>
          <w:trHeight w:val="15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B7E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92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cewka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array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(lub kombinacja cewek) umożliwiająca badanie całego ośrodkowego układu nerwowego (tzn. głowa + cały kręgosłup) z automatycznym przesuwem stołu pacjenta sterowanym z protokołu badania, bez repozycjonowania pacjenta i przekładania lub przepinania cewek, posiadająca, co najmniej 28 elementów obrazujących jednocześnie w maksymalnym FOV, do akwizycji równoległych całego obiektu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5B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D2EB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BF06B7C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758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26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sztywna (dopasowana anatomicznie) do badania barku lub wielokanałowa elastyczna cewka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płachtowa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wymiarach pozwalających na badanie barku, posiadająca, co najmniej 8 elementów obrazujących jednocześnie w maksymalnym 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7C8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Liczba kanałów: minimum </w:t>
            </w:r>
            <w:r w:rsidRPr="009F2923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6C6A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1420439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33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BE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sztywna (dopasowana anatomicznie) do badania nadgarstka lub wielokanałowa elastyczna cewka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płachtowa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wymiarach pozwalających na badanie nadgarstka, posiadająca, co najmniej 8 elementów obrazujących jednocześnie w maksymalnym 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2CE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Liczba kanałów: minimum</w:t>
            </w:r>
            <w:r w:rsidRPr="009F292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B2F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BD58030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0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DE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sztywna (dopasowana anatomicznie) do badania stawu skokowego i stopy lub wielokanałowa elastyczna cewka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płachtowa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wymiarach pozwalających na badanie stawu skokowego i stopy, posiadająca, co najmniej 8 elementów obrazujących jednocześnie w maksymalnym 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9D4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Liczba kanałów: minimum </w:t>
            </w:r>
            <w:r w:rsidRPr="009F2923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E61A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9C5F224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B9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3F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sztywna (dopasowana anatomicznie) do badania stawu kolanowego lub wielokanałowa elastyczna cewka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płachtowa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wymiarach pozwalających na badanie stawu kolanowego, posiadająca, co najmniej 8 elementów obrazujących jednocześnie w maksymalnym FOV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FA2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4ACC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4EBDE7E" w14:textId="77777777" w:rsidTr="00726C0F">
        <w:trPr>
          <w:trHeight w:val="1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155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69C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sztywna (dopasowana anatomicznie) do badań mammograficznych, umożliwiająca wykonywanie biopsji i spektroskopii sutka, posiadająca, co najmniej 7 elementów obrazujących jednocześnie w maksymalnym FOV, do akwizycji równoległych całego obiektu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równoważnych.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AF3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CD7B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0385D2A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A4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B2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do badań angiograficznych aorty i kończyn dolnych, posiadająca, najmniej 16 elementów obrazujących jednocześnie w maksymalnym FOV, do akwizycji równoległych całego obiektu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równoważnych.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30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DBE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5C9158F" w14:textId="77777777" w:rsidTr="00726C0F">
        <w:trPr>
          <w:trHeight w:val="1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BC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AC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Wielokanałowa dedykowana cewka (z podstawką zmniejszającą nacisk na kończyny dolne) do badań angiograficznych aorty i kończyn dolnych, posiadająca, najmniej 16 elementów obrazujących jednocześnie w maksymalnym FOV, do akwizycji równoległych całego obiektu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ASSET, ARC, SPEEDER lub równoważnych. Długość cewki ≥ 100 cm.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0F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93A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328592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F44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B4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Wielokanałowa dedykowana cewka do badań serca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EB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86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CD566F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F0AC9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19258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C0456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5B33C9E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B8EEED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75C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1.        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D1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Zakres badania bez konieczności repozycjonowania pacjenta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F04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Zakres badania w cm: ≤ 200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2D0B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4FEF001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F55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3C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System monitorowania pacjenta (EKG, puls i oddech) wypracowujący sygnał synchronizujący sekwencje obrazujące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C4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5B5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DC18BF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34A1B7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0BD06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APLIKACJE KLINICZNE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4635F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592047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65E7E6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600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28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neurologiczne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11F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4F2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44E553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D8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09D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Rutynowe badania neurologiczne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DE6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69C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E50423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6CE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36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obszaru głowy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B1E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3D2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93597D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51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47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kręgosłupa i rdzenia kręgowego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251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F1D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145DECE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7D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B7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Sekwencje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Steady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State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do badań OUN (typu FIESTA lub typu CISS lub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Balanced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FFE lub równoważne) 2D/3D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A31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844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63ACA89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91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9C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Izotropowe sekwencje 3D typu TSE/FSE pozwalające w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postprocessingu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3D na uzyskanie rekonstrukcji dowolnej płaszczyzny bez straty jakości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B3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02A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97DFE62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CC0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FAD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Izotropowe sekwencje 3D typu GRE pozwalające w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postprocessingu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3D na uzyskanie rekonstrukcji dowolnej płaszczyzny bez straty jakości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A21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2045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E17ED2C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E1F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F3C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Sekwencja 3D do obrazowania zależnego od podatności magnetycznej tkanki (typu ,,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susceptibility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weighted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imaging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'' - SWI, SWAN lub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SWIp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49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F2E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806432E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A6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EA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Automatyczne pozycjonowanie i ułożenie przekrojów skanu lokalizującego głowy na podstawie cech anatomicznych głowy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38E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421E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F138AC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440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C3C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Dyfuzja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E5A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76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38FAF1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55E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5A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Obrazowanie dyfuzji w oparciu o single-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shot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EPI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017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81A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3E378B9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4F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E17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Obrazowanie dyfuzji z wysoką rozdzielczością (non-single-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shot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np. sekwencjami typu PSIF-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Diffusion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High-Resolution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Diffusion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CD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A17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1EA56F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1BE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72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Max wartość b </w:t>
            </w:r>
            <w:proofErr w:type="gram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≥  10</w:t>
            </w:r>
            <w:proofErr w:type="gram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000 s/mm2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76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29D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073491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41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3D2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Liczenie map ADC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0A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45DE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31211F7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35F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48C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Automatyczne liczenie map ADC na konsoli operatora (typu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Inline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Diffusion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Pakiet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NeuroPro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9A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3D7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8FD2D9F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2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61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Zaawansowane badania dyfuzyjne mózgu, charakteryzujące się zwiększonym stosunkiem sygnał/szum (np. dzięki zastosowaniu akwizycji radialnej i wykorzystaniu sekwencji TSE lub FSE), inne niż obrazowanie dyfuzyjne zaoferowane w punkcie 1.2.2.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2D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101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D54E069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179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A1C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Wysokorozdzielcze badania dyfuzyjne w oparciu o sekwencje EPI w ograniczonych FOV </w:t>
            </w:r>
            <w:proofErr w:type="gram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np..</w:t>
            </w:r>
            <w:proofErr w:type="gram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20 cm x 10 cm, bez artefaktów typu "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folding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", uzyskane za pomocą selektywnego pobudzania 2D fragmentu obrazowanej warstwy lub objętości (FOCUS,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ZOOMit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lub odpowiednio do nomenklatury producenta)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FF0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7DC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68F8AA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0C2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6FF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Perfuzja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2B5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A58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D897D7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1B9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FB9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Obrazowanie perfuzji w oparciu o single-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shot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EPI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05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CC1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3813148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4D0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5AA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Automatyczne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generowanie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map CBF (Cerebral Blood Flow), CBV (Cerebral Blood Volume), MTT (Mean Transit Time)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TTP (Time to Peak)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konsoli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operatora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Neuro Perfusion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Inline Perfusion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równoważne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C95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3BE8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5F84575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9B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FB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Automatyczne generowanie map perfuzji na konsoli operatora z automatycznym uwzględnieniem tętniczej funkcji wejścia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Arterial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-Input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Function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 w oparciu o czasową postać sygnału, w celu obliczenia znormalizowanych wartości CBF, CBV, MTT oraz TTP w oparciu o dynamikę przepływów naczyniowych u konkretnego pacjenta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E8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246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EA1B22B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D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AD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Bezkontrastowa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perfuzja mózgu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Arterial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Spin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Labeling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 w oparciu o techniki bazujące na sekwencji typu FSE (Fast Spin Echo), TSE (Turbo Spin Echo) lub równoważne.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2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C241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464A6F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25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28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Tensor dyfuzji (DTI)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A6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533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C41921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36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96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DTI w oparciu o Single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Shot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EPI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7AB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9CD3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28A7CE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1B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F6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Pomiary DTI z różnymi kierunkami ≥ 32 kierunków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582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Liczba kierunków: ≥ 32 kierunków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F9C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FFDB69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028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FA3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Traktografia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tensora dyfuzji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B4C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AF09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AAD0A5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1F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BC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badań tensora dyfuzji na konsolę operatorską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A5F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8E02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552A2D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BBC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41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badań tensora dyfuzji na konsolę lekarską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65A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B50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410FCC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A4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BE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Spektroskopia wodorowa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90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BE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258A89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072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06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Single Voxel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CSI, 2D, 3D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3A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CB1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4F0F0CA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9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C8E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Aplikacje do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postprocessingu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badań spektroskopii Single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Voxel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oraz CSI 2D, 3D na konsoli operatora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2A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0BF2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C5F98BE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37C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7D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funkcjonalne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5DD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A40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2CEDAB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5B0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247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funkcjonalne w oparciu o techniki BOLD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72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B88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773C347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114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54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wykonania badań funkcjonalnych mózgu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fMRI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 na konsolę operatorską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F9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DE6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5C58307" w14:textId="77777777" w:rsidTr="00726C0F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49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1.6.3.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3E0" w14:textId="77777777" w:rsidR="00726C0F" w:rsidRPr="007E4A2C" w:rsidRDefault="00726C0F" w:rsidP="00CA7A02">
            <w:pPr>
              <w:rPr>
                <w:rFonts w:eastAsia="Times New Roman" w:cstheme="minorHAnsi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sz w:val="20"/>
                <w:szCs w:val="20"/>
              </w:rPr>
              <w:t xml:space="preserve">Aparat kompatybilny z oprogramowaniem i osprzętem firmy </w:t>
            </w:r>
            <w:proofErr w:type="spellStart"/>
            <w:r w:rsidRPr="007E4A2C">
              <w:rPr>
                <w:rFonts w:eastAsia="Times New Roman" w:cstheme="minorHAnsi"/>
                <w:sz w:val="20"/>
                <w:szCs w:val="20"/>
              </w:rPr>
              <w:t>Neuro</w:t>
            </w:r>
            <w:proofErr w:type="spellEnd"/>
            <w:r w:rsidRPr="007E4A2C">
              <w:rPr>
                <w:rFonts w:eastAsia="Times New Roman" w:cstheme="minorHAnsi"/>
                <w:sz w:val="20"/>
                <w:szCs w:val="20"/>
              </w:rPr>
              <w:t xml:space="preserve"> Device </w:t>
            </w:r>
            <w:proofErr w:type="spellStart"/>
            <w:r w:rsidRPr="007E4A2C">
              <w:rPr>
                <w:rFonts w:eastAsia="Times New Roman" w:cstheme="minorHAnsi"/>
                <w:sz w:val="20"/>
                <w:szCs w:val="20"/>
              </w:rPr>
              <w:t>Group</w:t>
            </w:r>
            <w:proofErr w:type="spellEnd"/>
            <w:r w:rsidRPr="007E4A2C">
              <w:rPr>
                <w:rFonts w:eastAsia="Times New Roman" w:cstheme="minorHAnsi"/>
                <w:sz w:val="20"/>
                <w:szCs w:val="20"/>
              </w:rPr>
              <w:t xml:space="preserve"> Sp. z </w:t>
            </w:r>
            <w:proofErr w:type="spellStart"/>
            <w:r w:rsidRPr="007E4A2C">
              <w:rPr>
                <w:rFonts w:eastAsia="Times New Roman" w:cstheme="minorHAnsi"/>
                <w:sz w:val="20"/>
                <w:szCs w:val="20"/>
              </w:rPr>
              <w:t>o.o</w:t>
            </w:r>
            <w:proofErr w:type="spellEnd"/>
            <w:r w:rsidRPr="007E4A2C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90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B05BF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726C0F" w14:paraId="685FD3AB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B1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89D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·         Monitor NNL LCD LED 32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cale</w:t>
            </w:r>
            <w:proofErr w:type="spellEnd"/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B7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DCD0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726C0F" w:rsidRPr="009F2923" w14:paraId="2A44D98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3B8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C12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·         NNL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Sync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E33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B486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AC7099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E88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71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·         NNL Audio System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74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B95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5A5577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BEE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C8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·         NNL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Aktiva</w:t>
            </w:r>
            <w:proofErr w:type="spellEnd"/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25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633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988AD9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7C6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F6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·         Instalacja i szkolenie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D56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8B0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19202FE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82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5B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·         Transport i ubezpieczenie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3A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B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7C4FBA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91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F7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Angiografia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A23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3836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2A61BC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265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EA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Time-of-Flight MRA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72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0BB8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8EAD91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976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20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Phase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Contrast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4AD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01B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4A04B82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AC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992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Techniki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bezkontrastowej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angiografii 3D (inne niż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ToF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PC) o wysokiej rozdzielczości przestrzennej do obrazowania tętnic, (co najmniej mózgu, szyjnej, udowej, podkolanowej, nerkowych) z możliwością tłumienia tkanek tła i przepływu żylnego.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BE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F13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BB33AF1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81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21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Techniki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bezkontrastowej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angiografii 3D (inne niż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ToF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PC) o wysokiej rozdzielczości przestrzennej do obrazowania tętnic peryferyjnych z możliwością bramkowania kardiologicznego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120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8C4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293CBA6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08A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44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Contrast-enhanced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MRA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ceMRA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D7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1688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C77B7A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98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B1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Dynamiczne badania 3D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Angio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0D7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F23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D111F0B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E6F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2.4.2.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850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Bolus Timing (typu Bolus Trak,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Care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Bolus lub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SmartPrep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BF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869D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DB42BE4" w14:textId="77777777" w:rsidTr="00726C0F">
        <w:trPr>
          <w:trHeight w:val="1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CD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2.4.3.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7C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Dynamiczne badania angiograficzne 4D (3D dynamiczne w czasie) obszarów takich jak tętnice szyjne, naczynia peryferyjne i. np. z wysoką rozdzielczością przestrzenną i czasową pozwalające na wizualizację dynamiki napływu i odpływu środka kontrastowego z obszaru zainteresowania (typu TRICKS, TWIST lub 4D Trak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DA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298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48EA12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49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E2C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Badania ortopedyczne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91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80D2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363BE23" w14:textId="77777777" w:rsidTr="00726C0F">
        <w:trPr>
          <w:trHeight w:val="18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6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D4A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Protokoły i sekwencje do badań stawów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DD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Aparat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który posiada obrazowanie kości na bazie akwizycji ZTE (Zero TE) z parametrem TE ≤ 20 µs, widocznym w parametrach sekwencji, możliwe do wykonania co najmniej na jednej z zaoferowanych cewek wielokanałowych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oZTEo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odpowiednio do nomenklatury producenta).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EDC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0AA3AC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00F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A0B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Badanie stawu kolanowego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4B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6F4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A7A48B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D1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5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Badanie barku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CE3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6AA9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F7C30A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7F8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DA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Badanie nadgarstka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73B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FCF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4BC5396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601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20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Badanie stawu skokowego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C63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A885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415F70A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1E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A51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Izotropowe sekwencje 3D pozwalające w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postprocessingu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3D na uzyskanie rekonstrukcji dowolnej płaszczyzny bez straty jakości (typu SPACE, BRAVO, CUBE lub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lub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równoważne).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661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CC2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B125247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077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E2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Sekwencja wykorzystująca akwizycje ze zmiennym kątem odchylenia wektora magnetyzacji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flip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angle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BE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7A6A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C453109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B4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D3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Sekwencja pozwalająca na uzyskanie podczas jednej akwizycji czterech obrazów: in-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phase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out-of-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phase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water-only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fat-only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(typu IDEAL, DIXON lub równoważne).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A9B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D8BB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810A213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0C6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3.3.1.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6EA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Zaoferowana sekwencja bazuje na technice innej niż 2-punktowy DIXON i pozwala na akwizycje zarówno FSE, jak i GRE (wykorzystywana m.in. do badań szyi, mięśniowo-szkieletowych, np. kolano)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24E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7D6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C4D0051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7B9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44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Sekwencje umożliwiające tworzenie map parametrycznych T2 do oceny zawartości wody w chrząstce między-stawowej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9B1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ACE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68DF49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EF5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436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Obrazowanie równoległe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B9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083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BC73858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05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672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Obrazowanie równoległe w oparciu o algorytmy na bazie rekonstrukcji obrazów (typu ASSET,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SENSE, SPEEDER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4C5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455A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2FFEB57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C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C6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Obrazowanie równoległe w oparciu o algorytmy na bazie rekonstrukcji przestrzeni k (typu GRAPPA, GEM, ARC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E9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62F4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E00475F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45D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3B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Technika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autokalibracji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niewymagająca wykonywania oddzielnego pomiaru (skanu), w procesie kalibracji czułości cewek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7F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B0F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47221D3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F35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EC6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Max współczynnik przyspieszenia dla obrazowania równoległego w jednym kierunku lub w dwóch kierunkach jednocześnie nie mniej niż 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14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6CC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DFA127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8E7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96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Techniki do spektralnej saturacji/pobudzania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906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4A9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9557D8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A7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4F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Częstotliwościowo selektywna saturacja tłuszczu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22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3E35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63AB8C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DC9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F3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Częstotliwościowo selektywna saturacja wody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AEB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0BC7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10E507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5A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6C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Techniki redukcji artefaktów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EF8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6FCD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353A8DB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E45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6E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Technika redukcji artefaktów ruchowych przy obrazowaniu T2 (typu BLADE, PROPELLER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6FA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9BBB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43F8BBA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50B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C7A8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Technika redukcji artefaktów ruchowych przy obrazowaniu FLAIR (typu BLADE, PROPELLER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EDD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Technika dostępna dla matrycy o wartości 256x256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817A3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3C161D9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B4C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C74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Technika redukcji artefaktów ruchowych przy obrazowaniu T1 (typu BLADE, PROPELLER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973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Technika dostępna dla matrycy o wartości 256x256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08A2B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6A74489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8D9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7F7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Eliminacja artefaktów powstałych na styku tkanki miękkiej i powietrza (artefaktów typu "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susceptibility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") w badaniu DWI przy użyciu algorytmu wykorzystującego radialną akwizycję przestrzeni K (typu PROPELLER lub równoważne)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FA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C7F9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3F8A820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E13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DBE" w14:textId="3E039952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Dedykowana technika redukcji artefaktów powstałych w obrazowaniu tkanek znajdujących się w bezpośrednim sąsiedztwie metalowych implantów (typu MAVRIC SL lub równoważne). Inna niż sekwencje oparte na technice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Dixona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8EC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89E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C5F81BD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6D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89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Aparat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który posiada nowoczesna metoda rekonstrukcji obrazów zwiększająca jakość otrzymanego obrazu, działająca w oparciu o dane surowe zebrane podczas badania, możliwa do zastosowania co najmniej w badaniach warstwowych (2D) dla wszystkich anatomii, zintegrowana z konsolą operatorską.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DD3" w14:textId="77777777" w:rsidR="00726C0F" w:rsidRPr="007E4A2C" w:rsidRDefault="00726C0F" w:rsidP="00CA7A0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4BF0BE" w14:textId="77777777" w:rsidR="00726C0F" w:rsidRPr="007E4A2C" w:rsidRDefault="00726C0F" w:rsidP="00CA7A0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71A7C01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0BE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10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Rozwiązanie oparte o sztuczną inteligencję (AI), wykorzystujące odpowiednio nauczoną sieć inteligentną/neuronową i mechanizm tzw. głębokiego uczenia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Deep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Learning):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BEE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719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B3D877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D8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FAB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a. umożliwiające jednoczesne zwiększenie SNR i rozdzielczości przestrzennej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27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777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A1EEEDD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06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6E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b. algorytm działający bez skanu kalibracyjnego 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31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83C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1F0B973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989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6A1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c. umożliwiające wybór poziomu zwiększenia SNR - co najmniej trzy ustawienia dostępne z poziomu klinicznego. 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EBB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D8F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F68C773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47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E6C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d. rozwiązanie możliwe dla sekwencji SE, FSE, SSFSE, DWI, GRE, kompat</w:t>
            </w:r>
            <w:r w:rsidRPr="009F2923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bilne z obrazowaniem równoległym (ASSET, ARC, SENSE,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iPAT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lub odpowiednio do nomenklatury producenta) 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5B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57C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95D793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16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B0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e. likwidujące artefakty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Gibbs'a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tzw.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truncation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artifacts</w:t>
            </w:r>
            <w:proofErr w:type="spellEnd"/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5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65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8FA3C2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FF925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9CD96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postprocessingowe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na konsolę lekarską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4D5C8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42E3672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15EC95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B7D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A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wykrywanie żelaza w mięśniu sercowym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5A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99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128461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CD5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9DE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wykrywanie żelaza w wątrobie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B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6C8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D25206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AC4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3A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ocena zawartości wody w chrząstce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D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743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791508D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A84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AC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redukcja artefaktów od implantów metalowych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CC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A99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94E0089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176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1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pakiet na konsolę do zaawansowanej analizy badań onkologicznych/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4C7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843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3765EF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629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DA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na konsolę do analiz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cardio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MR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BCF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821D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9B977A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B5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1B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badań angiograficznych MR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AA0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2B29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2452ED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5CF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B11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zaawansowanych akwizycji w zakresie badań prostaty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9EE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5B0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05F82BD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8F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E9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zaawansowanych analiz badań mammograficznych MR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5D2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6A9D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AEBCDAF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656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B9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oprogramowanie do obróbki zaawansowanych akwizycji w obszarze mięśniowo-szkieletowym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1F3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2D25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25BBD3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A55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51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do obróbki sekwencji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wolumerycznej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(3D) do badań serca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CBB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B1D3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4AB7B8B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B2D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BE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Wykresy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time-intensity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dla badań z kontrastem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7C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F250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3AE034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57B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E79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MPR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4D9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BBF1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6FE2A4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CB9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03D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MIP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05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0DC4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F483EA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24B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D1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Rekonstrukcje 3D SSD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9BA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B0B2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D0E4CA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36F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6C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3D VRT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5FD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A6B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ADFCAE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21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166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Podstawowa analiza obrazów MR i CT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A3C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9C74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3932773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22B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B4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fuzji obrazów z tomografii komputerowej, rezonansu magnetycznego, medycyny nuklearnej, PET i obrazów morfologicznych MR z obrazami dyfuzyjnymi MR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1A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C7BB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B8D0232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5F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D1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Program wspomagający ocenę badań onkologicznych (w tym synchronizacja badań, pomiary)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ADD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5669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E5CC77E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E7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C5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do łączenia poszczególnych obrazów z badań krokowych obszarów rozległych przekraczających statyczne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FoV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 jeden obraz całego badanego obszaru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675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FB41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6136366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379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23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Analiza dyfuzji, mapy ADC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0B8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0532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F550C34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248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657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ilościowej analizy badań perfuzji (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neuro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), a w szczególności kalkulacja i prezentacja w kolorze następujących wskaźników: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AF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21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9CEE2E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6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9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TTP (Time-to-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Peak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3A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36B7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8568DC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07D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F3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relMTT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(relative Mean Transit Time)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B77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7DF1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2F4392C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6D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7D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relCBV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(relative Cerebral Blood Volume)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0E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8DA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5618C79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51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214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relCBF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(relative Cerebral Blood Flow)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C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AA1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70A32C6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77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F4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Analiza perfuzji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bezkontrastowej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ASL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F07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91C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5FBA16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813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A8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Pomiary geometryczne (odległości, kąty, powierzchnie, objętość)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17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048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7B441E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0D7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29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analizy badań spektroskopowych SV, 2D i 3D CSI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A5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5225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16C065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CE8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C15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Kolorowe mapy dla badań DTI, 2D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7FA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A56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4A0ECAE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C16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E3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do analizy 2D i 3D tensora dyfuzji oraz wizualizacji 2D i 3D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traktografii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tensora dyfuzji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62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0A4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C3B7D9A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B3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B76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Pakiet do zaawansowanej analizy pomiarów serca (morfologia, funkcja, perfuzja, późne wzmocnienie) w pełnej opcji. Względna perfuzja mięśnia sercowego z segmentacją. Tryb wyświetlania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ClNE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dla dynamicznej prezentacji ruchów serca. Analiza i pomiar przepływów. Minimum na jednej konsoli lekarskiej.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FE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3D0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98B9E1A" w14:textId="77777777" w:rsidTr="00726C0F">
        <w:trPr>
          <w:trHeight w:val="10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560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FF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Oprogramowanie do oceny badań naczyniowych. Minimalna funkcjonalność: rekonstrukcje typu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virtual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endoskopy,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volume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rendering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technique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automatyczna lub półautomatyczna detekcja segmentów naczyń, pomiar </w:t>
            </w:r>
            <w:proofErr w:type="spellStart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stenozy</w:t>
            </w:r>
            <w:proofErr w:type="spellEnd"/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, rozróżnianie tętnic i żył. Minimum na jednej konsoli lekarskiej.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F2C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D38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A10C53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78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8C8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Oprogramowanie do analiz zmian właściwości naczyniowych badanych guzów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7FE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22C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A6D0DE7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0E3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CC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Filtr obrazów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F5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2456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1FCFAA5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4B6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A62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Konsola niezależna, mogąca działać po całkowitym wyłączeniu konsoli podstawowej aparatu MR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02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8B17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79FE2A6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2872A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C3E52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STACJA DIAGNOSTYCZNA - trzymonitorowa lub dwumonitorowa stacja opisowo-diagnostyczna szt.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3B23F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24DFC54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8E90EE6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BC6DA7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B6D63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SERWIS, PRZEGLĄDY I NAPRAWY GWARANCYJNE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462DB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1255995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D3E5AD3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7B67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DCFB" w14:textId="77777777" w:rsidR="00726C0F" w:rsidRPr="00313196" w:rsidRDefault="00726C0F" w:rsidP="00CA7A02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Okres gwarancji. Gwarancja obowiązująca na terenie Europy.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7CB9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Ilość miesięcy: min. 12 m-</w:t>
            </w:r>
            <w:proofErr w:type="spellStart"/>
            <w:r w:rsidRPr="00313196">
              <w:rPr>
                <w:rFonts w:eastAsia="Times New Roman" w:cstheme="minorHAnsi"/>
                <w:color w:val="000000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AA2A5" w14:textId="77777777" w:rsidR="00726C0F" w:rsidRPr="00313196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1A657D5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2F240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86C0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POZOSTAŁE WYPOSAŻENIE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965D3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0E828EA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6743364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59B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14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Monitor poziomu tlenu w pomieszczeniu badań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45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79B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5FE5590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BDC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0A2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Dwukomorowa strzykawka automatyczna do podawania środka kontrastowego przystosowana do pracy w środowisku MR 1.5T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E5E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1469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B06E8CB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6A6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DD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Słuchawki nauszne i douszne, tłumiące hałas dla pacjenta, z zestawem muzycznym (odtwarzacz płyt CD) umożliwiającym odsłuch muzyki w trakcie badania i komunikację z pacjentem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D9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B33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A4F45E0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AD3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E9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Komputer dla stacji RIS dla operatora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38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C651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7E2978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B6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7D1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Drukarka sieciowa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24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02E7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60EB2A81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77F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7F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Zestaw fantomów do kalibracji i testowania aparatu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8A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6D52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3B60B2B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6B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70B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Zestaw podgłówków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57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1F5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9EEF9F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43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60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 podkładek do pozycjonowania przy różnych badaniach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6BEA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BA5A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FA6EDBA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740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2E7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Wykrywacz metali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0B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1D2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27727B8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C18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4E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Niemagnetyczny wózek do przewożenia pacjentów leżących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34E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F90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38D5E70E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96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34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Niemagnetyczny wózek do przewożenia pacjentów siedzących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BC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01EA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4684E83F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8D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BE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Niemagnetyczna gaśnica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8F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0825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05CC9DE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BE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270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Osprzęt umożliwiający wykonanie biopsji piersi pod kontrolą rezonansu magnetycznego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EF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C6A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5ABBBFF2" w14:textId="77777777" w:rsidTr="00726C0F">
        <w:trPr>
          <w:trHeight w:val="5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EAFF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E599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Osprzęt umożliwiający wykonanie biopsji gruczołu krokowego pod kontrolą rezonansu magnetycznego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DFD5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Opcjonalnie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D058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0B8F38CE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BF8A0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1FADC0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POZOSTAŁE WYMAGANIA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596C0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5912041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79B42FB5" w14:textId="77777777" w:rsidTr="00726C0F">
        <w:trPr>
          <w:trHeight w:val="7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EC7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1.        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CF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Uzupełnienie helu w magnesie do poziomu maksymalnego wynikającego z warunków technicznych przed przekazaniem uruchomionego systemu Zamawiającemu nie mniej niż 90%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48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650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29CCB7BB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55B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2.        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AE9E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Szkolenie aplikacyjne w siedzibie Zamawiającego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8C9D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Liczba dni szkolenia aplikacyjnego: minimum 10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012C4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26C0F" w:rsidRPr="009F2923" w14:paraId="17512352" w14:textId="77777777" w:rsidTr="00726C0F">
        <w:trPr>
          <w:trHeight w:val="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233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5A0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Wykonanie testów pola magnetycznego na potrzeby SANEPID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432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E4A2C"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9EEF6" w14:textId="77777777" w:rsidR="00726C0F" w:rsidRPr="007E4A2C" w:rsidRDefault="00726C0F" w:rsidP="00CA7A0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78E5F798" w14:textId="355AA4EB" w:rsidR="004E0C38" w:rsidRDefault="004E0C38">
      <w:pPr>
        <w:rPr>
          <w:rFonts w:cstheme="minorHAnsi"/>
          <w:sz w:val="20"/>
          <w:szCs w:val="20"/>
        </w:rPr>
      </w:pPr>
    </w:p>
    <w:p w14:paraId="71758909" w14:textId="45170AEA" w:rsidR="00726C0F" w:rsidRDefault="00726C0F">
      <w:pPr>
        <w:rPr>
          <w:rFonts w:cstheme="minorHAnsi"/>
          <w:sz w:val="20"/>
          <w:szCs w:val="20"/>
        </w:rPr>
      </w:pPr>
    </w:p>
    <w:p w14:paraId="200A9B89" w14:textId="77777777" w:rsidR="00726C0F" w:rsidRDefault="00726C0F">
      <w:pPr>
        <w:rPr>
          <w:rFonts w:cstheme="minorHAnsi"/>
          <w:sz w:val="20"/>
          <w:szCs w:val="20"/>
        </w:rPr>
      </w:pPr>
    </w:p>
    <w:p w14:paraId="5587E1F5" w14:textId="593A079C" w:rsidR="00726C0F" w:rsidRPr="00B360E6" w:rsidRDefault="00726C0F" w:rsidP="00726C0F">
      <w:pPr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  <w:color w:val="000000"/>
        </w:rPr>
        <w:t xml:space="preserve">……………………………… 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>……</w:t>
      </w:r>
      <w:r>
        <w:rPr>
          <w:rFonts w:eastAsia="Times New Roman"/>
          <w:color w:val="000000"/>
        </w:rPr>
        <w:t>………………</w:t>
      </w:r>
      <w:r w:rsidRPr="00B360E6">
        <w:rPr>
          <w:rFonts w:eastAsia="Times New Roman"/>
          <w:color w:val="000000"/>
        </w:rPr>
        <w:t>………………………………………….……………………………………….</w:t>
      </w:r>
    </w:p>
    <w:p w14:paraId="58F46691" w14:textId="277E3738" w:rsidR="00726C0F" w:rsidRPr="00B360E6" w:rsidRDefault="00726C0F" w:rsidP="00726C0F">
      <w:pPr>
        <w:rPr>
          <w:rFonts w:ascii="Times New Roman" w:eastAsia="Times New Roman" w:hAnsi="Times New Roman" w:cs="Times New Roman"/>
        </w:rPr>
      </w:pPr>
      <w:r>
        <w:rPr>
          <w:rFonts w:eastAsia="Times New Roman"/>
          <w:i/>
          <w:iCs/>
          <w:color w:val="000000"/>
        </w:rPr>
        <w:t>Miejscowość, data</w:t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ab/>
        <w:t xml:space="preserve">          </w:t>
      </w:r>
      <w:proofErr w:type="gramStart"/>
      <w:r>
        <w:rPr>
          <w:rFonts w:eastAsia="Times New Roman"/>
          <w:i/>
          <w:iCs/>
          <w:color w:val="000000"/>
        </w:rPr>
        <w:t xml:space="preserve">   </w:t>
      </w:r>
      <w:r w:rsidRPr="00B360E6">
        <w:rPr>
          <w:rFonts w:eastAsia="Times New Roman"/>
          <w:i/>
          <w:iCs/>
          <w:color w:val="000000"/>
        </w:rPr>
        <w:t>(</w:t>
      </w:r>
      <w:proofErr w:type="gramEnd"/>
      <w:r>
        <w:rPr>
          <w:rFonts w:eastAsia="Times New Roman"/>
          <w:i/>
          <w:iCs/>
          <w:color w:val="000000"/>
        </w:rPr>
        <w:t xml:space="preserve">pieczęć i </w:t>
      </w:r>
      <w:r w:rsidRPr="00B360E6">
        <w:rPr>
          <w:rFonts w:eastAsia="Times New Roman"/>
          <w:i/>
          <w:iCs/>
          <w:color w:val="000000"/>
        </w:rPr>
        <w:t>podpis osoby upoważnionej do reprezentacji Wykonawcy) </w:t>
      </w:r>
    </w:p>
    <w:p w14:paraId="330FBE77" w14:textId="4E21A662" w:rsidR="00726C0F" w:rsidRPr="00B360E6" w:rsidRDefault="00726C0F" w:rsidP="00726C0F">
      <w:pPr>
        <w:rPr>
          <w:rFonts w:ascii="Times New Roman" w:eastAsia="Times New Roman" w:hAnsi="Times New Roman" w:cs="Times New Roman"/>
        </w:rPr>
      </w:pPr>
    </w:p>
    <w:p w14:paraId="7E0AA362" w14:textId="77777777" w:rsidR="00726C0F" w:rsidRDefault="00726C0F" w:rsidP="00726C0F">
      <w:pPr>
        <w:spacing w:line="276" w:lineRule="auto"/>
        <w:jc w:val="right"/>
      </w:pPr>
    </w:p>
    <w:p w14:paraId="2E018D02" w14:textId="0C8B46B1" w:rsidR="00726C0F" w:rsidRDefault="00726C0F">
      <w:pPr>
        <w:rPr>
          <w:rFonts w:cstheme="minorHAnsi"/>
          <w:sz w:val="20"/>
          <w:szCs w:val="20"/>
        </w:rPr>
      </w:pPr>
    </w:p>
    <w:p w14:paraId="48D10416" w14:textId="7BF8CC46" w:rsidR="00726C0F" w:rsidRDefault="00726C0F" w:rsidP="00726C0F">
      <w:pPr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0787B2D9" w14:textId="15968EBF" w:rsidR="00726C0F" w:rsidRPr="00946BE2" w:rsidRDefault="00726C0F" w:rsidP="00726C0F">
      <w:pPr>
        <w:rPr>
          <w:rFonts w:cstheme="minorHAnsi"/>
          <w:sz w:val="20"/>
          <w:szCs w:val="20"/>
        </w:rPr>
      </w:pPr>
    </w:p>
    <w:sectPr w:rsidR="00726C0F" w:rsidRPr="00946BE2" w:rsidSect="00276D17">
      <w:headerReference w:type="default" r:id="rId6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2324" w14:textId="77777777" w:rsidR="002C1C15" w:rsidRDefault="002C1C15" w:rsidP="00933155">
      <w:r>
        <w:separator/>
      </w:r>
    </w:p>
  </w:endnote>
  <w:endnote w:type="continuationSeparator" w:id="0">
    <w:p w14:paraId="6B8F2C3D" w14:textId="77777777" w:rsidR="002C1C15" w:rsidRDefault="002C1C15" w:rsidP="0093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9055" w14:textId="77777777" w:rsidR="002C1C15" w:rsidRDefault="002C1C15" w:rsidP="00933155">
      <w:r>
        <w:separator/>
      </w:r>
    </w:p>
  </w:footnote>
  <w:footnote w:type="continuationSeparator" w:id="0">
    <w:p w14:paraId="4F2BF7E0" w14:textId="77777777" w:rsidR="002C1C15" w:rsidRDefault="002C1C15" w:rsidP="0093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D5E" w14:textId="26792319" w:rsidR="004E0C38" w:rsidRDefault="00933155" w:rsidP="004E0C38">
    <w:pPr>
      <w:pStyle w:val="Nagwek"/>
      <w:jc w:val="center"/>
    </w:pPr>
    <w:r>
      <w:rPr>
        <w:noProof/>
        <w:color w:val="000000"/>
      </w:rPr>
      <w:drawing>
        <wp:inline distT="0" distB="0" distL="0" distR="0" wp14:anchorId="6ABC3E0B" wp14:editId="52A52A79">
          <wp:extent cx="5684520" cy="62103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1A6219" w14:textId="77777777" w:rsidR="00933155" w:rsidRDefault="009331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C1"/>
    <w:rsid w:val="00014DD0"/>
    <w:rsid w:val="00042AC1"/>
    <w:rsid w:val="0008338B"/>
    <w:rsid w:val="001E17E0"/>
    <w:rsid w:val="00276D17"/>
    <w:rsid w:val="002C1C15"/>
    <w:rsid w:val="00476B3F"/>
    <w:rsid w:val="004E0C38"/>
    <w:rsid w:val="00606E34"/>
    <w:rsid w:val="00706826"/>
    <w:rsid w:val="00726C0F"/>
    <w:rsid w:val="00806262"/>
    <w:rsid w:val="0087536D"/>
    <w:rsid w:val="00933155"/>
    <w:rsid w:val="00946BE2"/>
    <w:rsid w:val="00AA7A16"/>
    <w:rsid w:val="00D529D4"/>
    <w:rsid w:val="00F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6A8AB"/>
  <w15:chartTrackingRefBased/>
  <w15:docId w15:val="{04F209AD-352D-5640-8932-F112F06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155"/>
  </w:style>
  <w:style w:type="paragraph" w:styleId="Stopka">
    <w:name w:val="footer"/>
    <w:basedOn w:val="Normalny"/>
    <w:link w:val="StopkaZnak"/>
    <w:uiPriority w:val="99"/>
    <w:unhideWhenUsed/>
    <w:rsid w:val="00933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2807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Dopierala</dc:creator>
  <cp:keywords/>
  <dc:description/>
  <cp:lastModifiedBy>Agnieszka Dopierala</cp:lastModifiedBy>
  <cp:revision>2</cp:revision>
  <cp:lastPrinted>2022-10-06T17:32:00Z</cp:lastPrinted>
  <dcterms:created xsi:type="dcterms:W3CDTF">2022-10-11T10:11:00Z</dcterms:created>
  <dcterms:modified xsi:type="dcterms:W3CDTF">2022-10-11T10:11:00Z</dcterms:modified>
</cp:coreProperties>
</file>